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proofErr w:type="spellStart"/>
            <w:r>
              <w:t>magn</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E1662F" w:rsidP="000114D9">
            <w:pPr>
              <w:jc w:val="center"/>
            </w:pPr>
            <w:r>
              <w:t>great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proofErr w:type="spellStart"/>
            <w:r>
              <w:t>endo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within</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-phobia</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fear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proofErr w:type="spellStart"/>
            <w:r>
              <w:t>ortho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straight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-put</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think</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proofErr w:type="spellStart"/>
            <w:r>
              <w:t>ver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truth</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mega</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large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pop</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people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E1662F" w:rsidP="00691F7C">
            <w:pPr>
              <w:jc w:val="center"/>
            </w:pPr>
            <w:r>
              <w:t>min</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small</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proofErr w:type="spellStart"/>
            <w:r>
              <w:t>amphi</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E1662F" w:rsidP="00691F7C">
            <w:pPr>
              <w:jc w:val="center"/>
            </w:pPr>
            <w:r>
              <w:t>both</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4847B6"/>
    <w:rsid w:val="004D5A90"/>
    <w:rsid w:val="005821C2"/>
    <w:rsid w:val="006774B2"/>
    <w:rsid w:val="00691F7C"/>
    <w:rsid w:val="007325A2"/>
    <w:rsid w:val="007D2046"/>
    <w:rsid w:val="00BF3DF5"/>
    <w:rsid w:val="00C41077"/>
    <w:rsid w:val="00CF6BA6"/>
    <w:rsid w:val="00E13C29"/>
    <w:rsid w:val="00E1662F"/>
    <w:rsid w:val="00F13C9C"/>
    <w:rsid w:val="00F96F4D"/>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2015-02-18T16:33:00Z</dcterms:created>
  <dcterms:modified xsi:type="dcterms:W3CDTF">2015-02-18T16:33:00Z</dcterms:modified>
</cp:coreProperties>
</file>